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rPr/>
      </w:pPr>
      <w:r w:rsidDel="00000000" w:rsidR="00000000" w:rsidRPr="00000000">
        <w:rPr>
          <w:b w:val="1"/>
          <w:bCs w:val="1"/>
          <w:rtl w:val="0"/>
        </w:rPr>
        <w:t xml:space="preserve">Précis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Menopause affects more than one billion women worldwide yet remains outside the organizing frameworks of population health; this article proposes a sequential integration framework spanning clinical training, surveillance, quality measurement, and policy alignment, and identifies specific mechanisms through which ACOG is positioned to lead this work.</w:t>
      </w:r>
    </w:p>
    <w:p w:rsidR="00000000" w:rsidDel="00000000" w:rsidP="00000000" w:rsidRDefault="00000000" w:rsidRPr="00000000" w14:paraId="00000003">
      <w:pPr>
        <w:ind w:firstLine="0"/>
        <w:rPr/>
      </w:pPr>
      <w:r w:rsidDel="00000000" w:rsidR="00000000" w:rsidRPr="00000000">
        <w:rPr>
          <w:b w:val="1"/>
          <w:bCs w:val="1"/>
          <w:rtl w:val="0"/>
        </w:rPr>
        <w:t xml:space="preserve">Abstract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Menopause is a biologically defined, temporally predictable transition affecting more than one billion women worldwide, yet it remains largely unintegrated into existing population health systems. Despite its scale, duration, and downstream consequences — spanning cardiometabolic health, bone integrity, and neurocognitive function — menopause lacks the surveillance infrastructure, unified clinical framework, standardized training standards, and consistent coverage policies that characterize other population-level health priorities. Racial and socioeconomic disparities in symptom burden and treatment access further underscore the need for a coordinated systemic response. This article proposes a sequential framework for integrating menopause into existing public health infrastructure, moving from clinical training and public awareness through structured data capture, population-level surveillance, and policy alignment. It identifies the American College of Obstetricians and Gynecologists as distinctively positioned to advance this integration through its influence over graduate medical education, clinical guidance, quality measurement, and public communication. Applying this framework represents a necessary evolution of existing systems to reflect the full continuum of women's health.</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480" w:lineRule="auto"/>
        <w:ind w:left="0" w:right="0" w:firstLine="72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480" w:lineRule="auto"/>
        <w:ind w:left="0" w:right="0" w:firstLine="72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480" w:lineRule="auto"/>
        <w:ind w:left="0" w:right="0" w:firstLine="72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MENOPAUSE AS A PUBLIC HEALTH IMPERATIVE</w:t>
      </w:r>
    </w:p>
    <w:p w:rsidR="00000000" w:rsidDel="00000000" w:rsidP="00000000" w:rsidRDefault="00000000" w:rsidRPr="00000000" w14:paraId="00000008">
      <w:pPr>
        <w:rPr/>
      </w:pPr>
      <w:r w:rsidDel="00000000" w:rsidR="00000000" w:rsidRPr="00000000">
        <w:rPr>
          <w:rtl w:val="0"/>
        </w:rPr>
        <w:t xml:space="preserve">More than one billion women worldwide are now living in the postmenopausal state</w:t>
      </w:r>
      <w:r w:rsidDel="00000000" w:rsidR="00000000" w:rsidRPr="00000000">
        <w:rPr>
          <w:vertAlign w:val="superscript"/>
          <w:rtl w:val="0"/>
        </w:rPr>
        <w:t xml:space="preserve">1</w:t>
      </w:r>
      <w:r w:rsidDel="00000000" w:rsidR="00000000" w:rsidRPr="00000000">
        <w:rPr>
          <w:rtl w:val="0"/>
        </w:rPr>
        <w:t xml:space="preserve">—a biologically defined, temporally predictable transition associated with sustained symptom burden and systemic effects spanning cardiometabolic health, bone integrity, and neurocognitive function. In the United States, these effects unfold over years and fall unevenly across racial and socioeconomic lines. By established public health criteria, menopause represents a population-level health issue that remains largely unintegrated within population health systems.</w:t>
      </w:r>
    </w:p>
    <w:p w:rsidR="00000000" w:rsidDel="00000000" w:rsidP="00000000" w:rsidRDefault="00000000" w:rsidRPr="00000000" w14:paraId="00000009">
      <w:pPr>
        <w:rPr/>
      </w:pPr>
      <w:r w:rsidDel="00000000" w:rsidR="00000000" w:rsidRPr="00000000">
        <w:rPr>
          <w:rtl w:val="0"/>
        </w:rPr>
        <w:t xml:space="preserve">The growing clinical and academic focus on menopause represents an important inflection point — an opportunity not only to advance clinical guidance, but to address the structural gaps that have limited coordinated care. This article proposes a sequential framework for that integration, grounded in existing public health infrastructure and oriented toward measurable and equitable outcomes.</w:t>
      </w:r>
    </w:p>
    <w:p w:rsidR="00000000" w:rsidDel="00000000" w:rsidP="00000000" w:rsidRDefault="00000000" w:rsidRPr="00000000" w14:paraId="0000000A">
      <w:pPr>
        <w:ind w:firstLine="0"/>
        <w:rPr>
          <w:b w:val="1"/>
          <w:bCs w:val="1"/>
        </w:rPr>
      </w:pPr>
      <w:r w:rsidDel="00000000" w:rsidR="00000000" w:rsidRPr="00000000">
        <w:rPr>
          <w:b w:val="1"/>
          <w:bCs w:val="1"/>
          <w:rtl w:val="0"/>
        </w:rPr>
        <w:t xml:space="preserve">The Case for Public Health Classification</w:t>
      </w:r>
    </w:p>
    <w:p w:rsidR="00000000" w:rsidDel="00000000" w:rsidP="00000000" w:rsidRDefault="00000000" w:rsidRPr="00000000" w14:paraId="0000000B">
      <w:pPr>
        <w:rPr/>
      </w:pPr>
      <w:r w:rsidDel="00000000" w:rsidR="00000000" w:rsidRPr="00000000">
        <w:rPr>
          <w:rtl w:val="0"/>
        </w:rPr>
        <w:t xml:space="preserve">Menopause meets the core public health criteria: it affects large populations, follows predictable patterns, influences long-term health outcomes, and requires coordinated system-level response rather than isolated, episodic care.</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population burden is substantial. Approximately 1.3 million women enter menopause annually in the United States</w:t>
      </w:r>
      <w:r w:rsidDel="00000000" w:rsidR="00000000" w:rsidRPr="00000000">
        <w:rPr>
          <w:vertAlign w:val="superscript"/>
          <w:rtl w:val="0"/>
        </w:rPr>
        <w:t xml:space="preserve">3</w:t>
      </w:r>
      <w:r w:rsidDel="00000000" w:rsidR="00000000" w:rsidRPr="00000000">
        <w:rPr>
          <w:rtl w:val="0"/>
        </w:rPr>
        <w:t xml:space="preserve">, with vasomotor symptoms affecting 70–80% and often persisting for seven or more years.</w:t>
      </w:r>
      <w:r w:rsidDel="00000000" w:rsidR="00000000" w:rsidRPr="00000000">
        <w:rPr>
          <w:vertAlign w:val="superscript"/>
          <w:rtl w:val="0"/>
        </w:rPr>
        <w:t xml:space="preserve">6</w:t>
      </w:r>
      <w:r w:rsidDel="00000000" w:rsidR="00000000" w:rsidRPr="00000000">
        <w:rPr>
          <w:rtl w:val="0"/>
        </w:rPr>
        <w:t xml:space="preserve"> The implications extend beyond symptom burden to include increased cardiometabolic risk, declining bone mineral density, and neurocognitive effects that influence quality of life, daily functioning, and long-term morbidity. These changes occur during midlife, when many women are at peak professional engagement — a period during which menopause-related symptoms carry measurable economic consequences. In a 2023 Mayo Clinic study of more than 4,400 employed women, one in eight reported an adverse work outcome attributable to menopause symptoms — including reduced productivity, changes in work hours, and career decisions such as early retirement or declining advancement — translating to an estimated $1.8 billion in annual productivity losses in the United States.</w:t>
      </w:r>
      <w:r w:rsidDel="00000000" w:rsidR="00000000" w:rsidRPr="00000000">
        <w:rPr>
          <w:vertAlign w:val="superscript"/>
          <w:rtl w:val="0"/>
        </w:rPr>
        <w:t xml:space="preserve">4</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burden is not evenly distributed. Data from the Study of Women's Health Across the Nation (SWAN) demonstrate that Black women experience vasomotor symptoms at higher rates than White women — 46% versus 37% at baseline</w:t>
      </w:r>
      <w:r w:rsidDel="00000000" w:rsidR="00000000" w:rsidRPr="00000000">
        <w:rPr>
          <w:vertAlign w:val="superscript"/>
          <w:rtl w:val="0"/>
        </w:rPr>
        <w:t xml:space="preserve">5</w:t>
      </w:r>
      <w:r w:rsidDel="00000000" w:rsidR="00000000" w:rsidRPr="00000000">
        <w:rPr>
          <w:rtl w:val="0"/>
        </w:rPr>
        <w:t xml:space="preserve"> — with a median symptom duration of 10.1 years, substantially longer than in other racial groups.</w:t>
      </w:r>
      <w:r w:rsidDel="00000000" w:rsidR="00000000" w:rsidRPr="00000000">
        <w:rPr>
          <w:vertAlign w:val="superscript"/>
          <w:rtl w:val="0"/>
        </w:rPr>
        <w:t xml:space="preserve">6</w:t>
      </w:r>
      <w:r w:rsidDel="00000000" w:rsidR="00000000" w:rsidRPr="00000000">
        <w:rPr>
          <w:rtl w:val="0"/>
        </w:rPr>
        <w:t xml:space="preserve"> Black women also report higher rates of clinically significant depressive symptoms during the transition and lower rates of hormone therapy utilization, a disparity attributed in part to gaps in clinician counseling and unconscious racial bias in treatment decisions. Women of lower socioeconomic status face compounding disadvantages in symptom severity, access to care, and treatment options. These disparities are not incidental — they are markers of a system failing to respond equitably to a predictable, population-level transition, and they strengthen the case for public health classification precisely because disparate impact is one of its defining indicators.</w:t>
      </w:r>
    </w:p>
    <w:p w:rsidR="00000000" w:rsidDel="00000000" w:rsidP="00000000" w:rsidRDefault="00000000" w:rsidRPr="00000000" w14:paraId="0000000E">
      <w:pPr>
        <w:rPr/>
      </w:pPr>
      <w:r w:rsidDel="00000000" w:rsidR="00000000" w:rsidRPr="00000000">
        <w:rPr>
          <w:rtl w:val="0"/>
        </w:rPr>
        <w:t xml:space="preserve">The maternal mortality framework offers instructive precedent. Once managed primarily through individual clinical encounters, maternal mortality is now tracked through national surveillance systems, standardized care bundles, and quality metrics coordinated at the federal level — a structural shift that produced measurable improvements in risk recognition, care consistency, and outcomes.</w:t>
      </w:r>
      <w:r w:rsidDel="00000000" w:rsidR="00000000" w:rsidRPr="00000000">
        <w:rPr>
          <w:vertAlign w:val="superscript"/>
          <w:rtl w:val="0"/>
        </w:rPr>
        <w:t xml:space="preserve">7 </w:t>
      </w:r>
      <w:r w:rsidDel="00000000" w:rsidR="00000000" w:rsidRPr="00000000">
        <w:rPr>
          <w:rtl w:val="0"/>
        </w:rPr>
        <w:t xml:space="preserve">The analogy is imperfect: maternal mortality is defined by an acute, measurable endpoint, whereas menopause involves diffuse consequences that unfold over years. The relevant lesson is not the specific mechanism but the principle — that designating a health transition as a public health priority changes what gets measured, what gets funded, and what gets fixed. Menopause warrants that designation.</w:t>
      </w:r>
    </w:p>
    <w:p w:rsidR="00000000" w:rsidDel="00000000" w:rsidP="00000000" w:rsidRDefault="00000000" w:rsidRPr="00000000" w14:paraId="0000000F">
      <w:pPr>
        <w:ind w:firstLine="0"/>
        <w:rPr>
          <w:b w:val="1"/>
          <w:bCs w:val="1"/>
        </w:rPr>
      </w:pPr>
      <w:r w:rsidDel="00000000" w:rsidR="00000000" w:rsidRPr="00000000">
        <w:rPr>
          <w:b w:val="1"/>
          <w:bCs w:val="1"/>
          <w:rtl w:val="0"/>
        </w:rPr>
        <w:t xml:space="preserve">Where the System Currently Fails: Four Structural Gaps</w:t>
      </w:r>
    </w:p>
    <w:p w:rsidR="00000000" w:rsidDel="00000000" w:rsidP="00000000" w:rsidRDefault="00000000" w:rsidRPr="00000000" w14:paraId="00000010">
      <w:pPr>
        <w:rPr/>
      </w:pPr>
      <w:r w:rsidDel="00000000" w:rsidR="00000000" w:rsidRPr="00000000">
        <w:rPr>
          <w:rtl w:val="0"/>
        </w:rPr>
        <w:t xml:space="preserve">Understanding why this transition has resisted integration requires examining the systems themselves. Four structural gaps explain the pattern.</w:t>
      </w:r>
    </w:p>
    <w:p w:rsidR="00000000" w:rsidDel="00000000" w:rsidP="00000000" w:rsidRDefault="00000000" w:rsidRPr="00000000" w14:paraId="00000011">
      <w:pPr>
        <w:rPr/>
      </w:pPr>
      <w:r w:rsidDel="00000000" w:rsidR="00000000" w:rsidRPr="00000000">
        <w:rPr>
          <w:b w:val="1"/>
          <w:bCs w:val="1"/>
          <w:rtl w:val="0"/>
        </w:rPr>
        <w:t xml:space="preserve">Surveillance and measurement.</w:t>
      </w:r>
      <w:r w:rsidDel="00000000" w:rsidR="00000000" w:rsidRPr="00000000">
        <w:rPr>
          <w:rtl w:val="0"/>
        </w:rPr>
        <w:t xml:space="preserve"> Menopause-related outcomes are not systematically captured within national monitoring infrastructure. Major platforms, including the Behavioral Risk Factor Surveillance System and the National Health and Nutrition Examination Survey, do not include standardized, longitudinal measures of menopause symptom burden, treatment utilization, or transition-related health outcomes. The current HEDIS measurement set — which spans more than 90 measures across cancer, cardiovascular disease, behavioral health, and diabetes — contains no menopause-specific quality measure. A "management of menopause" counseling measure was included in the 2000 HEDIS cycle but was subsequently retired and not replaced, leaving menopause counseling and management untracked at the health-plan level for many years.</w:t>
      </w:r>
      <w:r w:rsidDel="00000000" w:rsidR="00000000" w:rsidRPr="00000000">
        <w:rPr>
          <w:vertAlign w:val="superscript"/>
          <w:rtl w:val="0"/>
        </w:rPr>
        <w:t xml:space="preserve">8</w:t>
      </w:r>
      <w:r w:rsidDel="00000000" w:rsidR="00000000" w:rsidRPr="00000000">
        <w:rPr>
          <w:rtl w:val="0"/>
        </w:rPr>
        <w:t xml:space="preserve"> Without consistent measurement, population-level patterns remain difficult to quantify and system-level improvement is constrained.</w:t>
      </w:r>
    </w:p>
    <w:p w:rsidR="00000000" w:rsidDel="00000000" w:rsidP="00000000" w:rsidRDefault="00000000" w:rsidRPr="00000000" w14:paraId="00000012">
      <w:pPr>
        <w:rPr/>
      </w:pPr>
      <w:r w:rsidDel="00000000" w:rsidR="00000000" w:rsidRPr="00000000">
        <w:rPr>
          <w:b w:val="1"/>
          <w:bCs w:val="1"/>
          <w:rtl w:val="0"/>
        </w:rPr>
        <w:t xml:space="preserve">Absence of a unified clinical framework.</w:t>
      </w:r>
      <w:r w:rsidDel="00000000" w:rsidR="00000000" w:rsidRPr="00000000">
        <w:rPr>
          <w:rtl w:val="0"/>
        </w:rPr>
        <w:t xml:space="preserve"> Preventive care during the menopause transition is fragmented across cardiovascular screening, cancer surveillance, and bone health assessment, without an integrating structure that connects these domains with symptom evaluation and management. No standardized midlife transition framework exists analogous to prenatal care or well-child visits — encounters organized around predictable life-stage transitions that coordinate assessment, anticipatory guidance, and longitudinal follow-up within a single clinical structure. The result is care that addresses components in isolation, with limited coordination across domains and fewer mechanisms to identify women who fall outside routine care.</w:t>
      </w:r>
    </w:p>
    <w:p w:rsidR="00000000" w:rsidDel="00000000" w:rsidP="00000000" w:rsidRDefault="00000000" w:rsidRPr="00000000" w14:paraId="00000013">
      <w:pPr>
        <w:rPr/>
      </w:pPr>
      <w:r w:rsidDel="00000000" w:rsidR="00000000" w:rsidRPr="00000000">
        <w:rPr>
          <w:b w:val="1"/>
          <w:bCs w:val="1"/>
          <w:rtl w:val="0"/>
        </w:rPr>
        <w:t xml:space="preserve">Inconsistent clinical training.</w:t>
      </w:r>
      <w:r w:rsidDel="00000000" w:rsidR="00000000" w:rsidRPr="00000000">
        <w:rPr>
          <w:rtl w:val="0"/>
        </w:rPr>
        <w:t xml:space="preserve"> Variation in clinician preparation contributes to differences in care. In a national survey of obstetrics and gynecology residency program directors, approximately 31% reported having a formal menopause curriculum, and fewer than one-third offered dedicated menopause clinic experience.</w:t>
      </w:r>
      <w:r w:rsidDel="00000000" w:rsidR="00000000" w:rsidRPr="00000000">
        <w:rPr>
          <w:vertAlign w:val="superscript"/>
          <w:rtl w:val="0"/>
        </w:rPr>
        <w:t xml:space="preserve">9</w:t>
      </w:r>
      <w:r w:rsidDel="00000000" w:rsidR="00000000" w:rsidRPr="00000000">
        <w:rPr>
          <w:rtl w:val="0"/>
        </w:rPr>
        <w:t xml:space="preserve"> Menopause management competencies are not explicitly defined within current ACGME milestone frameworks, leaving preparation dependent on institutional context and individual initiative. This variability may influence counseling practices, risk assessment, and treatment decisions. In under-resourced training environments, including those serving predominantly minority and Medicaid populations, these differences may further affect access to and continuity of care.</w:t>
      </w:r>
    </w:p>
    <w:p w:rsidR="00000000" w:rsidDel="00000000" w:rsidP="00000000" w:rsidRDefault="00000000" w:rsidRPr="00000000" w14:paraId="00000014">
      <w:pPr>
        <w:rPr/>
      </w:pPr>
      <w:r w:rsidDel="00000000" w:rsidR="00000000" w:rsidRPr="00000000">
        <w:rPr>
          <w:b w:val="1"/>
          <w:bCs w:val="1"/>
          <w:rtl w:val="0"/>
        </w:rPr>
        <w:t xml:space="preserve">Coverage variability and access.</w:t>
      </w:r>
      <w:r w:rsidDel="00000000" w:rsidR="00000000" w:rsidRPr="00000000">
        <w:rPr>
          <w:rtl w:val="0"/>
        </w:rPr>
        <w:t xml:space="preserve"> There are no uniform federal standards for insurance coverage of menopausal hormone therapy and related treatments. Coverage is determined at the state level for Medicaid and at the plan level for commercial insurance, resulting in variation in access to evidence-based care. Recent state-level actions illustrate this variability: Illinois enacted legislation in 2024 requiring insurers to cover medically necessary hormonal and non-hormonal therapies for menopausal symptoms,</w:t>
      </w:r>
      <w:r w:rsidDel="00000000" w:rsidR="00000000" w:rsidRPr="00000000">
        <w:rPr>
          <w:vertAlign w:val="superscript"/>
          <w:rtl w:val="0"/>
        </w:rPr>
        <w:t xml:space="preserve">10</w:t>
      </w:r>
      <w:r w:rsidDel="00000000" w:rsidR="00000000" w:rsidRPr="00000000">
        <w:rPr>
          <w:rtl w:val="0"/>
        </w:rPr>
        <w:t xml:space="preserve"> whereas similar legislation in California was vetoed by the Governor the same year.</w:t>
      </w:r>
      <w:r w:rsidDel="00000000" w:rsidR="00000000" w:rsidRPr="00000000">
        <w:rPr>
          <w:vertAlign w:val="superscript"/>
          <w:rtl w:val="0"/>
        </w:rPr>
        <w:t xml:space="preserve">11</w:t>
      </w:r>
      <w:r w:rsidDel="00000000" w:rsidR="00000000" w:rsidRPr="00000000">
        <w:rPr>
          <w:rtl w:val="0"/>
        </w:rPr>
        <w:t xml:space="preserve"> In the absence of a consistent policy framework, access to treatment varies by geography and insurance status, with implications for populations already experiencing disparities in care.</w:t>
      </w:r>
    </w:p>
    <w:p w:rsidR="00000000" w:rsidDel="00000000" w:rsidP="00000000" w:rsidRDefault="00000000" w:rsidRPr="00000000" w14:paraId="00000015">
      <w:pPr>
        <w:rPr/>
      </w:pPr>
      <w:r w:rsidDel="00000000" w:rsidR="00000000" w:rsidRPr="00000000">
        <w:rPr>
          <w:rtl w:val="0"/>
        </w:rPr>
        <w:t xml:space="preserve">Taken together, these gaps contribute to fragmented care, inconsistent risk assessment, and uneven access — reflecting the absence of formal integration of menopause within existing health system frameworks.</w:t>
      </w:r>
    </w:p>
    <w:p w:rsidR="00000000" w:rsidDel="00000000" w:rsidP="00000000" w:rsidRDefault="00000000" w:rsidRPr="00000000" w14:paraId="00000016">
      <w:pPr>
        <w:ind w:firstLine="0"/>
        <w:rPr>
          <w:b w:val="1"/>
          <w:bCs w:val="1"/>
        </w:rPr>
      </w:pPr>
      <w:r w:rsidDel="00000000" w:rsidR="00000000" w:rsidRPr="00000000">
        <w:rPr>
          <w:b w:val="1"/>
          <w:bCs w:val="1"/>
          <w:rtl w:val="0"/>
        </w:rPr>
        <w:t xml:space="preserve">A Sequential Integration Framework</w:t>
      </w:r>
    </w:p>
    <w:p w:rsidR="00000000" w:rsidDel="00000000" w:rsidP="00000000" w:rsidRDefault="00000000" w:rsidRPr="00000000" w14:paraId="00000017">
      <w:pPr>
        <w:rPr/>
      </w:pPr>
      <w:r w:rsidDel="00000000" w:rsidR="00000000" w:rsidRPr="00000000">
        <w:rPr>
          <w:rtl w:val="0"/>
        </w:rPr>
        <w:t xml:space="preserve">Addressing these gaps does not require building new infrastructure. It requires integrating menopause into existing systems through a sequential framework that moves from training and awareness to data capture, population-level analysis, and policy alignment.</w:t>
      </w:r>
    </w:p>
    <w:p w:rsidR="00000000" w:rsidDel="00000000" w:rsidP="00000000" w:rsidRDefault="00000000" w:rsidRPr="00000000" w14:paraId="00000018">
      <w:pPr>
        <w:rPr/>
      </w:pPr>
      <w:r w:rsidDel="00000000" w:rsidR="00000000" w:rsidRPr="00000000">
        <w:rPr>
          <w:b w:val="1"/>
          <w:bCs w:val="1"/>
          <w:rtl w:val="0"/>
        </w:rPr>
        <w:t xml:space="preserve">Strengthen clinical training.</w:t>
      </w:r>
      <w:r w:rsidDel="00000000" w:rsidR="00000000" w:rsidRPr="00000000">
        <w:rPr>
          <w:rtl w:val="0"/>
        </w:rPr>
        <w:t xml:space="preserve"> The foundation of system-level change is a prepared clinical workforce. Medical schools and residency programs — particularly in obstetrics and gynecology, family medicine, and preventive medicine — should incorporate structured education on the menopause transition, including symptom recognition, individualized risk stratification, and evidence-based management. Within graduate medical education, ACGME milestone frameworks provide a direct mechanism: defining menopause management as an explicit competency domain would establish a baseline standard of preparation and reduce variability in training exposure. Continuing medical education offers a parallel pathway for the existing workforce. Strengthening training may also support more consistent and equitable care delivery.</w:t>
      </w:r>
    </w:p>
    <w:p w:rsidR="00000000" w:rsidDel="00000000" w:rsidP="00000000" w:rsidRDefault="00000000" w:rsidRPr="00000000" w14:paraId="00000019">
      <w:pPr>
        <w:rPr/>
      </w:pPr>
      <w:r w:rsidDel="00000000" w:rsidR="00000000" w:rsidRPr="00000000">
        <w:rPr>
          <w:b w:val="1"/>
          <w:bCs w:val="1"/>
          <w:rtl w:val="0"/>
        </w:rPr>
        <w:t xml:space="preserve">Expand public awareness.</w:t>
      </w:r>
      <w:r w:rsidDel="00000000" w:rsidR="00000000" w:rsidRPr="00000000">
        <w:rPr>
          <w:rtl w:val="0"/>
        </w:rPr>
        <w:t xml:space="preserve"> Women entering midlife often lack clear, evidence-based information about the menopause transition. Public understanding has been shaped by evolving and, at times, inconsistent messaging, particularly following early interpretations of the Women's Health Initiative findings.</w:t>
      </w:r>
      <w:r w:rsidDel="00000000" w:rsidR="00000000" w:rsidRPr="00000000">
        <w:rPr>
          <w:vertAlign w:val="superscript"/>
          <w:rtl w:val="0"/>
        </w:rPr>
        <w:t xml:space="preserve">12</w:t>
      </w:r>
      <w:r w:rsidDel="00000000" w:rsidR="00000000" w:rsidRPr="00000000">
        <w:rPr>
          <w:rtl w:val="0"/>
        </w:rPr>
        <w:t xml:space="preserve"> Coordinated public health communication — through primary care settings, community organizations, and digital platforms — can improve symptom recognition, support earlier engagement with care, and promote informed decision-making. Communication strategies should account for health literacy and cultural context to reach populations less likely to engage with traditional clinical channels.</w:t>
      </w:r>
    </w:p>
    <w:p w:rsidR="00000000" w:rsidDel="00000000" w:rsidP="00000000" w:rsidRDefault="00000000" w:rsidRPr="00000000" w14:paraId="0000001A">
      <w:pPr>
        <w:rPr/>
      </w:pPr>
      <w:r w:rsidDel="00000000" w:rsidR="00000000" w:rsidRPr="00000000">
        <w:rPr>
          <w:b w:val="1"/>
          <w:bCs w:val="1"/>
          <w:rtl w:val="0"/>
        </w:rPr>
        <w:t xml:space="preserve">Implement structured data capture.</w:t>
      </w:r>
      <w:r w:rsidDel="00000000" w:rsidR="00000000" w:rsidRPr="00000000">
        <w:rPr>
          <w:rtl w:val="0"/>
        </w:rPr>
        <w:t xml:space="preserve"> A standardized midlife transition visit — analogous to other life-stage preventive encounters — could serve as an organizing mechanism for systematic data collection at the point of care. At such a visit, symptom burden, sleep, mood and cognitive changes, cardiometabolic risk factors, bone health, and treatment options could be assessed within a unified framework. Electronic health records can incorporate structured documentation fields for menopause-related symptoms, duration, and treatment patterns, enabling consistent data capture without requiring new infrastructure. This approach recognizes menopause as a predictable physiologic transition warranting coordinated assessment.</w:t>
      </w:r>
    </w:p>
    <w:p w:rsidR="00000000" w:rsidDel="00000000" w:rsidP="00000000" w:rsidRDefault="00000000" w:rsidRPr="00000000" w14:paraId="0000001B">
      <w:pPr>
        <w:rPr/>
      </w:pPr>
      <w:r w:rsidDel="00000000" w:rsidR="00000000" w:rsidRPr="00000000">
        <w:rPr>
          <w:b w:val="1"/>
          <w:bCs w:val="1"/>
          <w:rtl w:val="0"/>
        </w:rPr>
        <w:t xml:space="preserve">Integrate data into population-level surveillance.</w:t>
      </w:r>
      <w:r w:rsidDel="00000000" w:rsidR="00000000" w:rsidRPr="00000000">
        <w:rPr>
          <w:rtl w:val="0"/>
        </w:rPr>
        <w:t xml:space="preserve"> Aggregated clinical and survey data, once systematically captured, can be incorporated into existing national monitoring systems. Platforms such as the Behavioral Risk Factor Surveillance System and the National Health and Nutrition Examination Survey provide mechanisms through which menopause-related measures could be introduced, enabling population-level tracking of symptom burden, treatment utilization, and health outcomes.</w:t>
      </w:r>
    </w:p>
    <w:p w:rsidR="00000000" w:rsidDel="00000000" w:rsidP="00000000" w:rsidRDefault="00000000" w:rsidRPr="00000000" w14:paraId="0000001C">
      <w:pPr>
        <w:rPr/>
      </w:pPr>
      <w:r w:rsidDel="00000000" w:rsidR="00000000" w:rsidRPr="00000000">
        <w:rPr>
          <w:b w:val="1"/>
          <w:bCs w:val="1"/>
          <w:rtl w:val="0"/>
        </w:rPr>
        <w:t xml:space="preserve">Align coverage and policy frameworks.</w:t>
      </w:r>
      <w:r w:rsidDel="00000000" w:rsidR="00000000" w:rsidRPr="00000000">
        <w:rPr>
          <w:rtl w:val="0"/>
        </w:rPr>
        <w:t xml:space="preserve"> As population-level data clarify the relationship between menopause management and long-term health outcomes, payers and health systems can better align coverage with clinical need. Reintroducing a menopause management measure within HEDIS — updated to reflect current evidence and expanded to include treatment utilization and symptom documentation — would create accountability at the health plan level and incentivize more consistent care delivery.</w:t>
      </w:r>
    </w:p>
    <w:p w:rsidR="00000000" w:rsidDel="00000000" w:rsidP="00000000" w:rsidRDefault="00000000" w:rsidRPr="00000000" w14:paraId="0000001D">
      <w:pPr>
        <w:rPr/>
      </w:pPr>
      <w:r w:rsidDel="00000000" w:rsidR="00000000" w:rsidRPr="00000000">
        <w:rPr>
          <w:rtl w:val="0"/>
        </w:rPr>
        <w:t xml:space="preserve">What would integration look like in practice? Over time, a coordinated framework would be reflected in measurable changes: more consistent documentation of menopause symptoms in clinical records, reduced variation in treatment access, incorporation of menopause competencies into training programs, and the inclusion of menopause-related measures within health system performance frameworks. The mechanism is established: research linking HEDIS performance to patient outcomes has demonstrated that for conditions including diabetes, higher plan-level HEDIS performance is associated with better enrollee outcomes.</w:t>
      </w:r>
      <w:r w:rsidDel="00000000" w:rsidR="00000000" w:rsidRPr="00000000">
        <w:rPr>
          <w:vertAlign w:val="superscript"/>
          <w:rtl w:val="0"/>
        </w:rPr>
        <w:t xml:space="preserve">13</w:t>
      </w:r>
      <w:r w:rsidDel="00000000" w:rsidR="00000000" w:rsidRPr="00000000">
        <w:rPr>
          <w:rtl w:val="0"/>
        </w:rPr>
        <w:t xml:space="preserve"> Applying this infrastructure to menopause is not a novel experiment — it is an extension of a model with a documented track record.</w:t>
      </w:r>
    </w:p>
    <w:p w:rsidR="00000000" w:rsidDel="00000000" w:rsidP="00000000" w:rsidRDefault="00000000" w:rsidRPr="00000000" w14:paraId="0000001E">
      <w:pPr>
        <w:ind w:firstLine="0"/>
        <w:rPr>
          <w:b w:val="1"/>
          <w:bCs w:val="1"/>
        </w:rPr>
      </w:pPr>
      <w:r w:rsidDel="00000000" w:rsidR="00000000" w:rsidRPr="00000000">
        <w:rPr>
          <w:b w:val="1"/>
          <w:bCs w:val="1"/>
          <w:rtl w:val="0"/>
        </w:rPr>
        <w:t xml:space="preserve">The Role of ACOG</w:t>
      </w:r>
    </w:p>
    <w:p w:rsidR="00000000" w:rsidDel="00000000" w:rsidP="00000000" w:rsidRDefault="00000000" w:rsidRPr="00000000" w14:paraId="0000001F">
      <w:pPr>
        <w:rPr/>
      </w:pPr>
      <w:r w:rsidDel="00000000" w:rsidR="00000000" w:rsidRPr="00000000">
        <w:rPr>
          <w:rtl w:val="0"/>
        </w:rPr>
        <w:t xml:space="preserve">Integrating menopause into public health infrastructure requires action across multiple sectors — federal agencies, health systems, payers, and training institutions. Among these, the American College of Obstetricians and Gynecologists (ACOG) occupies a distinctive position. As the principal professional society for obstetricians and gynecologists in the United States, it has influence over residency training standards, authority to issue clinical guidance, capacity to shape quality benchmarks, and a broad public-facing platform. These functions represent practical points of entry for advancing the integration framework outlined here.</w:t>
      </w:r>
    </w:p>
    <w:p w:rsidR="00000000" w:rsidDel="00000000" w:rsidP="00000000" w:rsidRDefault="00000000" w:rsidRPr="00000000" w14:paraId="00000020">
      <w:pPr>
        <w:rPr/>
      </w:pPr>
      <w:r w:rsidDel="00000000" w:rsidR="00000000" w:rsidRPr="00000000">
        <w:rPr>
          <w:b w:val="1"/>
          <w:bCs w:val="1"/>
          <w:rtl w:val="0"/>
        </w:rPr>
        <w:t xml:space="preserve">Graduate medical education.</w:t>
      </w:r>
      <w:r w:rsidDel="00000000" w:rsidR="00000000" w:rsidRPr="00000000">
        <w:rPr>
          <w:rtl w:val="0"/>
        </w:rPr>
        <w:t xml:space="preserve"> ACOG's collaboration with the Accreditation Council for Graduate Medical Education (ACGME) provides a pathway to strengthen training expectations. Advocacy for inclusion of menopause management within obstetrics and gynecology milestone frameworks — through a formal committee recommendation or joint statement — would help establish a baseline standard of preparation that is less dependent on institutional variation.</w:t>
      </w:r>
    </w:p>
    <w:p w:rsidR="00000000" w:rsidDel="00000000" w:rsidP="00000000" w:rsidRDefault="00000000" w:rsidRPr="00000000" w14:paraId="00000021">
      <w:pPr>
        <w:rPr/>
      </w:pPr>
      <w:r w:rsidDel="00000000" w:rsidR="00000000" w:rsidRPr="00000000">
        <w:rPr>
          <w:b w:val="1"/>
          <w:bCs w:val="1"/>
          <w:rtl w:val="0"/>
        </w:rPr>
        <w:t xml:space="preserve">Clinical guidance.</w:t>
      </w:r>
      <w:r w:rsidDel="00000000" w:rsidR="00000000" w:rsidRPr="00000000">
        <w:rPr>
          <w:rtl w:val="0"/>
        </w:rPr>
        <w:t xml:space="preserve"> ACOG practice bulletins and clinical guidance are widely used within the specialty. An updated, comprehensive document on the menopause transition — integrating symptom management with cardiometabolic risk assessment, bone health, and neurocognitive effects — could provide a unifying clinical structure. Current guidance addresses components of care; a single, integrative framework would support more consistent evaluation and management across settings.</w:t>
      </w:r>
    </w:p>
    <w:p w:rsidR="00000000" w:rsidDel="00000000" w:rsidP="00000000" w:rsidRDefault="00000000" w:rsidRPr="00000000" w14:paraId="00000022">
      <w:pPr>
        <w:rPr/>
      </w:pPr>
      <w:r w:rsidDel="00000000" w:rsidR="00000000" w:rsidRPr="00000000">
        <w:rPr>
          <w:b w:val="1"/>
          <w:bCs w:val="1"/>
          <w:rtl w:val="0"/>
        </w:rPr>
        <w:t xml:space="preserve">Quality measurement.</w:t>
      </w:r>
      <w:r w:rsidDel="00000000" w:rsidR="00000000" w:rsidRPr="00000000">
        <w:rPr>
          <w:rtl w:val="0"/>
        </w:rPr>
        <w:t xml:space="preserve"> ACOG can engage with the National Committee for Quality Assurance (NCQA) and the Centers for Medicare &amp; Medicaid Services (CMS) in discussions regarding menopause-related quality measures. Professional societies have historically contributed to HEDIS development by synthesizing evidence, defining appropriate populations, and building consensus. Collaboration with the North American Menopause Society could further support the clinical foundation for a reinstated measure.</w:t>
      </w:r>
    </w:p>
    <w:p w:rsidR="00000000" w:rsidDel="00000000" w:rsidP="00000000" w:rsidRDefault="00000000" w:rsidRPr="00000000" w14:paraId="00000023">
      <w:pPr>
        <w:rPr/>
      </w:pPr>
      <w:r w:rsidDel="00000000" w:rsidR="00000000" w:rsidRPr="00000000">
        <w:rPr>
          <w:b w:val="1"/>
          <w:bCs w:val="1"/>
          <w:rtl w:val="0"/>
        </w:rPr>
        <w:t xml:space="preserve">Public communication.</w:t>
      </w:r>
      <w:r w:rsidDel="00000000" w:rsidR="00000000" w:rsidRPr="00000000">
        <w:rPr>
          <w:rtl w:val="0"/>
        </w:rPr>
        <w:t xml:space="preserve"> ACOG's patient-facing resources reach a broad audience. Coordinated messaging on the menopause transition — grounded in current evidence and attentive to variation in experience and access — could improve symptom recognition and support earlier engagement with care.</w:t>
      </w:r>
    </w:p>
    <w:p w:rsidR="00000000" w:rsidDel="00000000" w:rsidP="00000000" w:rsidRDefault="00000000" w:rsidRPr="00000000" w14:paraId="00000024">
      <w:pPr>
        <w:rPr/>
      </w:pPr>
      <w:r w:rsidDel="00000000" w:rsidR="00000000" w:rsidRPr="00000000">
        <w:rPr>
          <w:rtl w:val="0"/>
        </w:rPr>
        <w:t xml:space="preserve">The case for professional society engagement is supported by precedent. Through participation in national quality improvement initiatives, including the Alliance for Innovation on Maternal Health, ACOG has contributed to the dissemination of standardized care approaches associated with improvements in maternal outcomes. In Michigan, hospital participation in the AIM hemorrhage bundle grew from 15.9% to 82.7% between 2018 and 2024. Across AIM initiatives in the state, implementation of patient safety bundles was associated with a 14.3% reduction in severe maternal morbidity from hypertensive complications over a similar period.</w:t>
      </w:r>
      <w:r w:rsidDel="00000000" w:rsidR="00000000" w:rsidRPr="00000000">
        <w:rPr>
          <w:vertAlign w:val="superscript"/>
          <w:rtl w:val="0"/>
        </w:rPr>
        <w:t xml:space="preserve">7,14 </w:t>
      </w:r>
      <w:r w:rsidDel="00000000" w:rsidR="00000000" w:rsidRPr="00000000">
        <w:rPr>
          <w:rtl w:val="0"/>
        </w:rPr>
        <w:t xml:space="preserve">These efforts illustrate how clinical evidence, when translated into structured frameworks and disseminated through professional networks, can support measurable improvements in care. Applying similar principles to menopause represents an extension of an established approach.</w:t>
      </w:r>
    </w:p>
    <w:p w:rsidR="00000000" w:rsidDel="00000000" w:rsidP="00000000" w:rsidRDefault="00000000" w:rsidRPr="00000000" w14:paraId="00000025">
      <w:pPr>
        <w:ind w:firstLine="0"/>
        <w:rPr>
          <w:b w:val="1"/>
          <w:bCs w:val="1"/>
        </w:rPr>
      </w:pPr>
      <w:r w:rsidDel="00000000" w:rsidR="00000000" w:rsidRPr="00000000">
        <w:rPr>
          <w:b w:val="1"/>
          <w:bCs w:val="1"/>
          <w:rtl w:val="0"/>
        </w:rPr>
        <w:t xml:space="preserve">Conclusion</w:t>
      </w:r>
    </w:p>
    <w:p w:rsidR="00000000" w:rsidDel="00000000" w:rsidP="00000000" w:rsidRDefault="00000000" w:rsidRPr="00000000" w14:paraId="00000026">
      <w:pPr>
        <w:rPr/>
      </w:pPr>
      <w:r w:rsidDel="00000000" w:rsidR="00000000" w:rsidRPr="00000000">
        <w:rPr>
          <w:rtl w:val="0"/>
        </w:rPr>
        <w:t xml:space="preserve">Menopause is not a new condition. It is a predictable transition experienced by women who live into midlife — one that shapes health trajectories, influences workforce participation, and unfolds during years of sustained professional and social engagement. That this transition has remained outside the organizing frameworks of population health is a structural artifact — one that the field now has both the evidence and the infrastructure to correct.</w:t>
      </w:r>
    </w:p>
    <w:p w:rsidR="00000000" w:rsidDel="00000000" w:rsidP="00000000" w:rsidRDefault="00000000" w:rsidRPr="00000000" w14:paraId="00000027">
      <w:pPr>
        <w:rPr/>
      </w:pPr>
      <w:r w:rsidDel="00000000" w:rsidR="00000000" w:rsidRPr="00000000">
        <w:rPr>
          <w:rtl w:val="0"/>
        </w:rPr>
        <w:t xml:space="preserve">The pathway forward does not require new institutions or funding streams. It requires applying existing tools — training standards, surveillance platforms, quality measures, clinical guidance, and public communication — to a transition that has long warranted systematic attention. Positioned at the intersection of clinical practice, graduate education, and health policy, ACOG is well placed to lead that effort.</w:t>
      </w:r>
    </w:p>
    <w:p w:rsidR="00000000" w:rsidDel="00000000" w:rsidP="00000000" w:rsidRDefault="00000000" w:rsidRPr="00000000" w14:paraId="00000028">
      <w:pPr>
        <w:rPr/>
      </w:pPr>
      <w:r w:rsidDel="00000000" w:rsidR="00000000" w:rsidRPr="00000000">
        <w:rPr>
          <w:rtl w:val="0"/>
        </w:rPr>
        <w:t xml:space="preserve">Public health systems have been built to measure when life begins, but not when it transitions. Menopause occupies this blind spot — common, predictable, and consequential, yet structurally unaddressed. Addressing this gap represents an evolution of existing systems to reflect the full continuum of women's health across the lifespan.</w:t>
      </w:r>
    </w:p>
    <w:p w:rsidR="00000000" w:rsidDel="00000000" w:rsidP="00000000" w:rsidRDefault="00000000" w:rsidRPr="00000000" w14:paraId="00000029">
      <w:pPr>
        <w:ind w:firstLine="0"/>
        <w:rPr>
          <w:b w:val="1"/>
          <w:bCs w:val="1"/>
        </w:rPr>
      </w:pPr>
      <w:r w:rsidDel="00000000" w:rsidR="00000000" w:rsidRPr="00000000">
        <w:rPr>
          <w:b w:val="1"/>
          <w:bCs w:val="1"/>
          <w:rtl w:val="0"/>
        </w:rPr>
        <w:t xml:space="preserve">References</w:t>
      </w:r>
    </w:p>
    <w:p w:rsidR="00000000" w:rsidDel="00000000" w:rsidP="00000000" w:rsidRDefault="00000000" w:rsidRPr="00000000" w14:paraId="0000002A">
      <w:pPr>
        <w:rPr/>
      </w:pPr>
      <w:r w:rsidDel="00000000" w:rsidR="00000000" w:rsidRPr="00000000">
        <w:rPr>
          <w:rtl w:val="0"/>
        </w:rPr>
        <w:t xml:space="preserve">1. World Health Organization. Menopause. Geneva: WHO; October 2024. Available at: </w:t>
      </w:r>
      <w:hyperlink r:id="rId6">
        <w:r w:rsidDel="00000000" w:rsidR="00000000" w:rsidRPr="00000000">
          <w:rPr>
            <w:color w:val="467886"/>
            <w:u w:val="single"/>
            <w:rtl w:val="0"/>
          </w:rPr>
          <w:t xml:space="preserve">https://www.who.int/news-room/fact-sheets/detail/menopause</w:t>
        </w:r>
      </w:hyperlink>
      <w:r w:rsidDel="00000000" w:rsidR="00000000" w:rsidRPr="00000000">
        <w:rPr>
          <w:rtl w:val="0"/>
        </w:rPr>
        <w:t xml:space="preserve">. Accessed April 2026.</w:t>
      </w:r>
    </w:p>
    <w:p w:rsidR="00000000" w:rsidDel="00000000" w:rsidP="00000000" w:rsidRDefault="00000000" w:rsidRPr="00000000" w14:paraId="0000002B">
      <w:pPr>
        <w:rPr/>
      </w:pPr>
      <w:r w:rsidDel="00000000" w:rsidR="00000000" w:rsidRPr="00000000">
        <w:rPr>
          <w:rtl w:val="0"/>
        </w:rPr>
        <w:t xml:space="preserve">2. Turnock BJ. </w:t>
      </w:r>
      <w:r w:rsidDel="00000000" w:rsidR="00000000" w:rsidRPr="00000000">
        <w:rPr>
          <w:i w:val="1"/>
          <w:iCs w:val="1"/>
          <w:rtl w:val="0"/>
        </w:rPr>
        <w:t xml:space="preserve">Public Health: What It Is and How It Works.</w:t>
      </w:r>
      <w:r w:rsidDel="00000000" w:rsidR="00000000" w:rsidRPr="00000000">
        <w:rPr>
          <w:rtl w:val="0"/>
        </w:rPr>
        <w:t xml:space="preserve"> 6th ed. Burlington, MA: Jones &amp; Bartlett Learning; 2016.</w:t>
      </w:r>
    </w:p>
    <w:p w:rsidR="00000000" w:rsidDel="00000000" w:rsidP="00000000" w:rsidRDefault="00000000" w:rsidRPr="00000000" w14:paraId="0000002C">
      <w:pPr>
        <w:rPr/>
      </w:pPr>
      <w:r w:rsidDel="00000000" w:rsidR="00000000" w:rsidRPr="00000000">
        <w:rPr>
          <w:rtl w:val="0"/>
        </w:rPr>
        <w:t xml:space="preserve">3. Peacock K, Carlson K, Ketvertis KM. Menopause. In: </w:t>
      </w:r>
      <w:r w:rsidDel="00000000" w:rsidR="00000000" w:rsidRPr="00000000">
        <w:rPr>
          <w:i w:val="1"/>
          <w:iCs w:val="1"/>
          <w:rtl w:val="0"/>
        </w:rPr>
        <w:t xml:space="preserve">StatPearls</w:t>
      </w:r>
      <w:r w:rsidDel="00000000" w:rsidR="00000000" w:rsidRPr="00000000">
        <w:rPr>
          <w:rtl w:val="0"/>
        </w:rPr>
        <w:t xml:space="preserve"> [Internet]. Treasure Island, FL: StatPearls Publishing; updated December 2023. Available at: </w:t>
      </w:r>
      <w:hyperlink r:id="rId7">
        <w:r w:rsidDel="00000000" w:rsidR="00000000" w:rsidRPr="00000000">
          <w:rPr>
            <w:color w:val="467886"/>
            <w:u w:val="single"/>
            <w:rtl w:val="0"/>
          </w:rPr>
          <w:t xml:space="preserve">https://www.ncbi.nlm.nih.gov/books/NBK507826/</w:t>
        </w:r>
      </w:hyperlink>
      <w:r w:rsidDel="00000000" w:rsidR="00000000" w:rsidRPr="00000000">
        <w:rPr>
          <w:rtl w:val="0"/>
        </w:rPr>
        <w:t xml:space="preserve">. Accessed April 2026.</w:t>
      </w:r>
    </w:p>
    <w:p w:rsidR="00000000" w:rsidDel="00000000" w:rsidP="00000000" w:rsidRDefault="00000000" w:rsidRPr="00000000" w14:paraId="0000002D">
      <w:pPr>
        <w:rPr/>
      </w:pPr>
      <w:r w:rsidDel="00000000" w:rsidR="00000000" w:rsidRPr="00000000">
        <w:rPr>
          <w:rtl w:val="0"/>
        </w:rPr>
        <w:t xml:space="preserve">4. Faubion SS, Enders F, Hedges MS, Chaudhry R, Kling JM, Shufelt CL, et al. Impact of menopause symptoms on women in the workplace. </w:t>
      </w:r>
      <w:r w:rsidDel="00000000" w:rsidR="00000000" w:rsidRPr="00000000">
        <w:rPr>
          <w:i w:val="1"/>
          <w:iCs w:val="1"/>
          <w:rtl w:val="0"/>
        </w:rPr>
        <w:t xml:space="preserve">Mayo Clin Proc</w:t>
      </w:r>
      <w:r w:rsidDel="00000000" w:rsidR="00000000" w:rsidRPr="00000000">
        <w:rPr>
          <w:rtl w:val="0"/>
        </w:rPr>
        <w:t xml:space="preserve"> 2023;98:833–45. doi:10.1016/j.mayocp.2023.02.025</w:t>
      </w:r>
    </w:p>
    <w:p w:rsidR="00000000" w:rsidDel="00000000" w:rsidP="00000000" w:rsidRDefault="00000000" w:rsidRPr="00000000" w14:paraId="0000002E">
      <w:pPr>
        <w:rPr/>
      </w:pPr>
      <w:r w:rsidDel="00000000" w:rsidR="00000000" w:rsidRPr="00000000">
        <w:rPr>
          <w:rtl w:val="0"/>
        </w:rPr>
        <w:t xml:space="preserve">5. Harlow SD, Burnett-Bowie SM, Greendale GA, Avis NE, Reeves AN, Richards TR, et al. Disparities in reproductive aging and midlife health between Black and White women: The Study of Women's Health Across the Nation (SWAN). </w:t>
      </w:r>
      <w:r w:rsidDel="00000000" w:rsidR="00000000" w:rsidRPr="00000000">
        <w:rPr>
          <w:i w:val="1"/>
          <w:iCs w:val="1"/>
          <w:rtl w:val="0"/>
        </w:rPr>
        <w:t xml:space="preserve">Womens Midlife Health</w:t>
      </w:r>
      <w:r w:rsidDel="00000000" w:rsidR="00000000" w:rsidRPr="00000000">
        <w:rPr>
          <w:rtl w:val="0"/>
        </w:rPr>
        <w:t xml:space="preserve"> 2022;8:3. doi:10.1186/s40695-022-00073-y</w:t>
      </w:r>
    </w:p>
    <w:p w:rsidR="00000000" w:rsidDel="00000000" w:rsidP="00000000" w:rsidRDefault="00000000" w:rsidRPr="00000000" w14:paraId="0000002F">
      <w:pPr>
        <w:rPr/>
      </w:pPr>
      <w:r w:rsidDel="00000000" w:rsidR="00000000" w:rsidRPr="00000000">
        <w:rPr>
          <w:rtl w:val="0"/>
        </w:rPr>
        <w:t xml:space="preserve">6. Avis NE, Crawford SL, Greendale G, Bromberger JT, Everson-Rose SA, Gold EB, et al; Study of Women's Health Across the Nation. Duration of menopausal vasomotor symptoms over the menopause transition. </w:t>
      </w:r>
      <w:r w:rsidDel="00000000" w:rsidR="00000000" w:rsidRPr="00000000">
        <w:rPr>
          <w:i w:val="1"/>
          <w:iCs w:val="1"/>
          <w:rtl w:val="0"/>
        </w:rPr>
        <w:t xml:space="preserve">JAMA Intern Med</w:t>
      </w:r>
      <w:r w:rsidDel="00000000" w:rsidR="00000000" w:rsidRPr="00000000">
        <w:rPr>
          <w:rtl w:val="0"/>
        </w:rPr>
        <w:t xml:space="preserve"> 2015;175:531–9. doi:10.1001/jamainternmed.2014.8063</w:t>
      </w:r>
    </w:p>
    <w:p w:rsidR="00000000" w:rsidDel="00000000" w:rsidP="00000000" w:rsidRDefault="00000000" w:rsidRPr="00000000" w14:paraId="00000030">
      <w:pPr>
        <w:rPr/>
      </w:pPr>
      <w:r w:rsidDel="00000000" w:rsidR="00000000" w:rsidRPr="00000000">
        <w:rPr>
          <w:rtl w:val="0"/>
        </w:rPr>
        <w:t xml:space="preserve">7. Main EK, Cape V, Abreo A, Vasher J, Woods A, Carpenter A, et al. Reduction of severe maternal morbidity from hemorrhage using a state perinatal quality collaborative. </w:t>
      </w:r>
      <w:r w:rsidDel="00000000" w:rsidR="00000000" w:rsidRPr="00000000">
        <w:rPr>
          <w:i w:val="1"/>
          <w:iCs w:val="1"/>
          <w:rtl w:val="0"/>
        </w:rPr>
        <w:t xml:space="preserve">Am J Obstet Gynecol</w:t>
      </w:r>
      <w:r w:rsidDel="00000000" w:rsidR="00000000" w:rsidRPr="00000000">
        <w:rPr>
          <w:rtl w:val="0"/>
        </w:rPr>
        <w:t xml:space="preserve"> 2017;216:298.e1–11. doi:10.1016/j.ajog.2016.11.1032</w:t>
      </w:r>
    </w:p>
    <w:p w:rsidR="00000000" w:rsidDel="00000000" w:rsidP="00000000" w:rsidRDefault="00000000" w:rsidRPr="00000000" w14:paraId="00000031">
      <w:pPr>
        <w:rPr/>
      </w:pPr>
      <w:r w:rsidDel="00000000" w:rsidR="00000000" w:rsidRPr="00000000">
        <w:rPr>
          <w:rtl w:val="0"/>
        </w:rPr>
        <w:t xml:space="preserve">8. Draper DA, Solti I, Strunk BC. Standardized health plan reporting in four areas of preventive health care. </w:t>
      </w:r>
      <w:r w:rsidDel="00000000" w:rsidR="00000000" w:rsidRPr="00000000">
        <w:rPr>
          <w:i w:val="1"/>
          <w:iCs w:val="1"/>
          <w:rtl w:val="0"/>
        </w:rPr>
        <w:t xml:space="preserve">Health Aff (Millwood)</w:t>
      </w:r>
      <w:r w:rsidDel="00000000" w:rsidR="00000000" w:rsidRPr="00000000">
        <w:rPr>
          <w:rtl w:val="0"/>
        </w:rPr>
        <w:t xml:space="preserve"> 2003;22:254–64. doi:10.1377/hlthaff.22.3.254</w:t>
      </w:r>
    </w:p>
    <w:p w:rsidR="00000000" w:rsidDel="00000000" w:rsidP="00000000" w:rsidRDefault="00000000" w:rsidRPr="00000000" w14:paraId="00000032">
      <w:pPr>
        <w:rPr/>
      </w:pPr>
      <w:r w:rsidDel="00000000" w:rsidR="00000000" w:rsidRPr="00000000">
        <w:rPr>
          <w:rtl w:val="0"/>
        </w:rPr>
        <w:t xml:space="preserve">9. Kling JM, Manson JE, Nappi RE, Pinkerton JV, Schnatz PF, Shifren JL, et al. Menopause management knowledge in obstetrics and gynecology residency training: a national survey. </w:t>
      </w:r>
      <w:r w:rsidDel="00000000" w:rsidR="00000000" w:rsidRPr="00000000">
        <w:rPr>
          <w:i w:val="1"/>
          <w:iCs w:val="1"/>
          <w:rtl w:val="0"/>
        </w:rPr>
        <w:t xml:space="preserve">Menopause</w:t>
      </w:r>
      <w:r w:rsidDel="00000000" w:rsidR="00000000" w:rsidRPr="00000000">
        <w:rPr>
          <w:rtl w:val="0"/>
        </w:rPr>
        <w:t xml:space="preserve"> 2019;26:1101–6. doi:10.1097/GME.0000000000001382</w:t>
      </w:r>
    </w:p>
    <w:p w:rsidR="00000000" w:rsidDel="00000000" w:rsidP="00000000" w:rsidRDefault="00000000" w:rsidRPr="00000000" w14:paraId="00000033">
      <w:pPr>
        <w:rPr/>
      </w:pPr>
      <w:r w:rsidDel="00000000" w:rsidR="00000000" w:rsidRPr="00000000">
        <w:rPr>
          <w:rtl w:val="0"/>
        </w:rPr>
        <w:t xml:space="preserve">10. Illinois Public Act 103-0703, enacted July 19, 2024, effective January 1, 2026. Illinois General Assembly. Available at: </w:t>
      </w:r>
      <w:hyperlink r:id="rId8">
        <w:r w:rsidDel="00000000" w:rsidR="00000000" w:rsidRPr="00000000">
          <w:rPr>
            <w:color w:val="467886"/>
            <w:u w:val="single"/>
            <w:rtl w:val="0"/>
          </w:rPr>
          <w:t xml:space="preserve">https://www.ilga.gov/legislation/publicacts/fulltext.asp?Name=103-0703</w:t>
        </w:r>
      </w:hyperlink>
      <w:r w:rsidDel="00000000" w:rsidR="00000000" w:rsidRPr="00000000">
        <w:rPr>
          <w:rtl w:val="0"/>
        </w:rPr>
        <w:t xml:space="preserve">. Accessed April 2026.</w:t>
      </w:r>
    </w:p>
    <w:p w:rsidR="00000000" w:rsidDel="00000000" w:rsidP="00000000" w:rsidRDefault="00000000" w:rsidRPr="00000000" w14:paraId="00000034">
      <w:pPr>
        <w:rPr/>
      </w:pPr>
      <w:r w:rsidDel="00000000" w:rsidR="00000000" w:rsidRPr="00000000">
        <w:rPr>
          <w:rtl w:val="0"/>
        </w:rPr>
        <w:t xml:space="preserve">11. California Assembly Bill 2467 (Menopause Care Equity Act), vetoed by Governor Gavin Newsom, September 2024. California Legislative Information. Available at: </w:t>
      </w:r>
      <w:hyperlink r:id="rId9">
        <w:r w:rsidDel="00000000" w:rsidR="00000000" w:rsidRPr="00000000">
          <w:rPr>
            <w:color w:val="467886"/>
            <w:u w:val="single"/>
            <w:rtl w:val="0"/>
          </w:rPr>
          <w:t xml:space="preserve">https://leginfo.legislature.ca.gov</w:t>
        </w:r>
      </w:hyperlink>
      <w:r w:rsidDel="00000000" w:rsidR="00000000" w:rsidRPr="00000000">
        <w:rPr>
          <w:rtl w:val="0"/>
        </w:rPr>
        <w:t xml:space="preserve">. Accessed April 2026.</w:t>
      </w:r>
    </w:p>
    <w:p w:rsidR="00000000" w:rsidDel="00000000" w:rsidP="00000000" w:rsidRDefault="00000000" w:rsidRPr="00000000" w14:paraId="00000035">
      <w:pPr>
        <w:rPr/>
      </w:pPr>
      <w:r w:rsidDel="00000000" w:rsidR="00000000" w:rsidRPr="00000000">
        <w:rPr>
          <w:rtl w:val="0"/>
        </w:rPr>
        <w:t xml:space="preserve">12. Rossouw JE, Anderson GL, Prentice RL, LaCroix AZ, Kooperberg C, Stefanick ML, et al. Risks and benefits of estrogen plus progestin in healthy postmenopausal women: principal results from the Women's Health Initiative randomized controlled trial. </w:t>
      </w:r>
      <w:r w:rsidDel="00000000" w:rsidR="00000000" w:rsidRPr="00000000">
        <w:rPr>
          <w:i w:val="1"/>
          <w:iCs w:val="1"/>
          <w:rtl w:val="0"/>
        </w:rPr>
        <w:t xml:space="preserve">JAMA</w:t>
      </w:r>
      <w:r w:rsidDel="00000000" w:rsidR="00000000" w:rsidRPr="00000000">
        <w:rPr>
          <w:rtl w:val="0"/>
        </w:rPr>
        <w:t xml:space="preserve"> 2002;288:321–33. doi:10.1001/jama.288.3.321</w:t>
      </w:r>
    </w:p>
    <w:p w:rsidR="00000000" w:rsidDel="00000000" w:rsidP="00000000" w:rsidRDefault="00000000" w:rsidRPr="00000000" w14:paraId="00000036">
      <w:pPr>
        <w:rPr/>
      </w:pPr>
      <w:r w:rsidDel="00000000" w:rsidR="00000000" w:rsidRPr="00000000">
        <w:rPr>
          <w:rtl w:val="0"/>
        </w:rPr>
        <w:t xml:space="preserve">13. Harman JS, Scholle SH, Ng JH, Pawlson LG, Mardon RE, Haffer SC, et al. Association of health plans' Healthcare Effectiveness Data and Information Set (HEDIS) performance with outcomes of enrollees with diabetes. </w:t>
      </w:r>
      <w:r w:rsidDel="00000000" w:rsidR="00000000" w:rsidRPr="00000000">
        <w:rPr>
          <w:i w:val="1"/>
          <w:iCs w:val="1"/>
          <w:rtl w:val="0"/>
        </w:rPr>
        <w:t xml:space="preserve">Med Care</w:t>
      </w:r>
      <w:r w:rsidDel="00000000" w:rsidR="00000000" w:rsidRPr="00000000">
        <w:rPr>
          <w:rtl w:val="0"/>
        </w:rPr>
        <w:t xml:space="preserve"> 2010;48:217–23. doi:10.1097/MLR.0b013e3181ca3fe6</w:t>
      </w:r>
    </w:p>
    <w:p w:rsidR="00000000" w:rsidDel="00000000" w:rsidP="00000000" w:rsidRDefault="00000000" w:rsidRPr="00000000" w14:paraId="00000037">
      <w:pPr>
        <w:rPr/>
      </w:pPr>
      <w:r w:rsidDel="00000000" w:rsidR="00000000" w:rsidRPr="00000000">
        <w:rPr>
          <w:rtl w:val="0"/>
        </w:rPr>
        <w:t xml:space="preserve">14. Michigan Department of Health and Human Services. Michigan Alliance for Innovation on Maternal Health (MI AIM) 2025 Program Summary. Available at: </w:t>
      </w:r>
      <w:hyperlink r:id="rId10">
        <w:r w:rsidDel="00000000" w:rsidR="00000000" w:rsidRPr="00000000">
          <w:rPr>
            <w:color w:val="467886"/>
            <w:u w:val="single"/>
            <w:rtl w:val="0"/>
          </w:rPr>
          <w:t xml:space="preserve">https://www.michigan.gov/mdhhs</w:t>
        </w:r>
      </w:hyperlink>
      <w:r w:rsidDel="00000000" w:rsidR="00000000" w:rsidRPr="00000000">
        <w:rPr>
          <w:rtl w:val="0"/>
        </w:rPr>
        <w:t xml:space="preserve">. Accessed April 2026.</w:t>
      </w:r>
    </w:p>
    <w:p w:rsidR="00000000" w:rsidDel="00000000" w:rsidP="00000000" w:rsidRDefault="00000000" w:rsidRPr="00000000" w14:paraId="00000038">
      <w:pPr>
        <w:rPr/>
      </w:pPr>
      <w:r w:rsidDel="00000000" w:rsidR="00000000" w:rsidRPr="00000000">
        <w:rPr>
          <w:rtl w:val="0"/>
        </w:rPr>
      </w:r>
    </w:p>
    <w:sectPr>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ind w:firstLine="720"/>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michigan.gov/mdhhs" TargetMode="External"/><Relationship Id="rId12" Type="http://schemas.openxmlformats.org/officeDocument/2006/relationships/footer" Target="footer2.xml"/><Relationship Id="rId9" Type="http://schemas.openxmlformats.org/officeDocument/2006/relationships/hyperlink" Target="https://leginfo.legislature.ca.gov" TargetMode="External"/><Relationship Id="rId5" Type="http://schemas.openxmlformats.org/officeDocument/2006/relationships/styles" Target="styles.xml"/><Relationship Id="rId6" Type="http://schemas.openxmlformats.org/officeDocument/2006/relationships/hyperlink" Target="https://www.who.int/news-room/fact-sheets/detail/menopause" TargetMode="External"/><Relationship Id="rId7" Type="http://schemas.openxmlformats.org/officeDocument/2006/relationships/hyperlink" Target="https://www.ncbi.nlm.nih.gov/books/NBK507826/" TargetMode="External"/><Relationship Id="rId8" Type="http://schemas.openxmlformats.org/officeDocument/2006/relationships/hyperlink" Target="https://www.ilga.gov/legislation/publicacts/fulltext.asp?Name=103-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